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784"/>
        <w:gridCol w:w="74"/>
        <w:gridCol w:w="354"/>
        <w:gridCol w:w="303"/>
        <w:gridCol w:w="11"/>
        <w:gridCol w:w="294"/>
        <w:gridCol w:w="374"/>
        <w:gridCol w:w="232"/>
        <w:gridCol w:w="303"/>
        <w:gridCol w:w="186"/>
        <w:gridCol w:w="119"/>
        <w:gridCol w:w="606"/>
        <w:gridCol w:w="608"/>
        <w:gridCol w:w="289"/>
        <w:gridCol w:w="319"/>
        <w:gridCol w:w="315"/>
        <w:gridCol w:w="294"/>
        <w:gridCol w:w="606"/>
        <w:gridCol w:w="312"/>
        <w:gridCol w:w="294"/>
        <w:gridCol w:w="609"/>
        <w:gridCol w:w="606"/>
        <w:gridCol w:w="609"/>
      </w:tblGrid>
      <w:tr w14:paraId="338DC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152FB939">
            <w:pPr>
              <w:jc w:val="center"/>
              <w:rPr>
                <w:rFonts w:hint="eastAsia" w:eastAsia="宋体"/>
                <w:lang w:eastAsia="zh-CN"/>
              </w:rPr>
            </w:pPr>
            <w:bookmarkStart w:id="0" w:name="t1"/>
            <w:r>
              <w:rPr>
                <w:rFonts w:hint="default" w:ascii="Times New Roman" w:hAnsi="Times New Roman" w:cs="Times New Roman"/>
                <w:b/>
                <w:sz w:val="28"/>
              </w:rPr>
              <w:t>SPSSAU - AHP Hierarchical Analysis</w:t>
            </w:r>
            <w:r>
              <w:rPr>
                <w:rFonts w:hint="eastAsia" w:ascii="Times New Roman" w:hAnsi="Times New Roman" w:eastAsia="宋体" w:cs="Times New Roman"/>
                <w:b/>
                <w:sz w:val="28"/>
                <w:lang w:eastAsia="zh-CN"/>
              </w:rPr>
              <w:t>（Target layer）</w:t>
            </w:r>
          </w:p>
          <w:p w14:paraId="2F22B5AC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06B7C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F25A1F8">
            <w:pPr>
              <w:pStyle w:val="24"/>
              <w:snapToGrid w:val="0"/>
              <w:spacing w:before="0" w:after="0" w:line="240" w:lineRule="auto"/>
            </w:pPr>
          </w:p>
        </w:tc>
        <w:tc>
          <w:tcPr>
            <w:tcW w:w="413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F135290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857" w:type="pct"/>
            <w:gridSpan w:val="7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44AC1A3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08B87D1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7E62213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684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B8A7C9A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786C9A8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5ECBAE5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Indicator7</w:t>
            </w:r>
          </w:p>
        </w:tc>
      </w:tr>
      <w:tr w14:paraId="50820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926A07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120F2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857" w:type="pct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D853DE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9FADF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27B55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  <w:tc>
          <w:tcPr>
            <w:tcW w:w="684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83FE6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D55D7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5E6DFD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7.000</w:t>
            </w:r>
          </w:p>
        </w:tc>
      </w:tr>
      <w:tr w14:paraId="207B8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BFFF50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57C1E3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857" w:type="pct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2E3266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F61821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5B9A5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7.000</w:t>
            </w:r>
          </w:p>
        </w:tc>
        <w:tc>
          <w:tcPr>
            <w:tcW w:w="684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2915A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3E638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D7E72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9.000</w:t>
            </w:r>
          </w:p>
        </w:tc>
      </w:tr>
      <w:tr w14:paraId="161DA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DFFF290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5835F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857" w:type="pct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B8CE56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2129CC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1A690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684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5B0B7E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18E7C0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30C95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</w:tr>
      <w:tr w14:paraId="7C859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56E095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DBF950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857" w:type="pct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9AB5E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0.143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8AA26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678E70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684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184B6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ECAAA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5597B8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</w:tr>
      <w:tr w14:paraId="2126E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14FC08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23EAE6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857" w:type="pct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96D634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38E6BEE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45C246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684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F3988B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6F699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2D01FB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6BCB1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AF4E93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64BF7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857" w:type="pct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D729F6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22CFA0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ECBF09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684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9FABA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770EBD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B8D265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74F77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4" w:type="pct"/>
            <w:gridSpan w:val="2"/>
            <w:tcBorders>
              <w:bottom w:val="single" w:color="auto" w:sz="12" w:space="0"/>
            </w:tcBorders>
          </w:tcPr>
          <w:p w14:paraId="63578569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Indicator7</w:t>
            </w:r>
          </w:p>
        </w:tc>
        <w:tc>
          <w:tcPr>
            <w:tcW w:w="413" w:type="pct"/>
            <w:gridSpan w:val="3"/>
            <w:tcBorders>
              <w:bottom w:val="single" w:color="auto" w:sz="12" w:space="0"/>
            </w:tcBorders>
          </w:tcPr>
          <w:p w14:paraId="7F929AE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0.143</w:t>
            </w:r>
          </w:p>
        </w:tc>
        <w:tc>
          <w:tcPr>
            <w:tcW w:w="857" w:type="pct"/>
            <w:gridSpan w:val="7"/>
            <w:tcBorders>
              <w:bottom w:val="single" w:color="auto" w:sz="12" w:space="0"/>
            </w:tcBorders>
          </w:tcPr>
          <w:p w14:paraId="5282F72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0.111</w:t>
            </w:r>
          </w:p>
        </w:tc>
        <w:tc>
          <w:tcPr>
            <w:tcW w:w="685" w:type="pct"/>
            <w:gridSpan w:val="2"/>
            <w:tcBorders>
              <w:bottom w:val="single" w:color="auto" w:sz="12" w:space="0"/>
            </w:tcBorders>
          </w:tcPr>
          <w:p w14:paraId="3548682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518" w:type="pct"/>
            <w:gridSpan w:val="3"/>
            <w:tcBorders>
              <w:bottom w:val="single" w:color="auto" w:sz="12" w:space="0"/>
            </w:tcBorders>
          </w:tcPr>
          <w:p w14:paraId="3E6730B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684" w:type="pct"/>
            <w:gridSpan w:val="3"/>
            <w:tcBorders>
              <w:bottom w:val="single" w:color="auto" w:sz="12" w:space="0"/>
            </w:tcBorders>
          </w:tcPr>
          <w:p w14:paraId="3E8E705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510" w:type="pct"/>
            <w:gridSpan w:val="2"/>
            <w:tcBorders>
              <w:bottom w:val="single" w:color="auto" w:sz="12" w:space="0"/>
            </w:tcBorders>
          </w:tcPr>
          <w:p w14:paraId="63ED701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685" w:type="pct"/>
            <w:gridSpan w:val="2"/>
            <w:tcBorders>
              <w:bottom w:val="single" w:color="auto" w:sz="12" w:space="0"/>
            </w:tcBorders>
          </w:tcPr>
          <w:p w14:paraId="6EC052A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15FD0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3119" w:type="pct"/>
            <w:gridSpan w:val="17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F713C63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bookmarkStart w:id="1" w:name="t2"/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Analysis Recommendations  </w:t>
            </w:r>
          </w:p>
          <w:p w14:paraId="4E8A8F43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The original data for the AHP hierarchical analysis (i.e., input data) is shown in the table above;  </w:t>
            </w:r>
          </w:p>
          <w:p w14:paraId="4625DB7B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First: In the AHP data format, the diagonal from the top left to the bottom right must be 1, indicating that the importance of an indicator relative to itself is completely equal;  </w:t>
            </w:r>
          </w:p>
          <w:p w14:paraId="71A4871C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Second: The data in the upper right and lower left corners are reciprocally symmetrical;  </w:t>
            </w:r>
          </w:p>
          <w:p w14:paraId="553815F8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Third: The numbers represent the relative importance between indicators, with larger numbers indicating stronger relative importance.</w:t>
            </w:r>
          </w:p>
          <w:p w14:paraId="57EB2271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5C13C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113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831165A">
            <w:pPr>
              <w:pStyle w:val="24"/>
              <w:spacing w:before="0" w:after="0" w:line="240" w:lineRule="auto"/>
            </w:pPr>
            <w:bookmarkStart w:id="4" w:name="_GoBack" w:colFirst="0" w:colLast="9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731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AEBBE4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214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0099E6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DC83D8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923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ECE542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769DE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6FD126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47AB4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1.712</w:t>
            </w:r>
          </w:p>
        </w:tc>
        <w:tc>
          <w:tcPr>
            <w:tcW w:w="68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48D69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24.4597%</w:t>
            </w:r>
          </w:p>
        </w:tc>
        <w:tc>
          <w:tcPr>
            <w:tcW w:w="856" w:type="pct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688F4FD8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7.102</w:t>
            </w:r>
          </w:p>
        </w:tc>
        <w:tc>
          <w:tcPr>
            <w:tcW w:w="518" w:type="pct"/>
            <w:gridSpan w:val="3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311C1ABB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0.017</w:t>
            </w:r>
          </w:p>
        </w:tc>
      </w:tr>
      <w:tr w14:paraId="3E93F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3978CF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9BD53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2.613</w:t>
            </w:r>
          </w:p>
        </w:tc>
        <w:tc>
          <w:tcPr>
            <w:tcW w:w="68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4072BA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37.3242%</w:t>
            </w:r>
          </w:p>
        </w:tc>
        <w:tc>
          <w:tcPr>
            <w:tcW w:w="856" w:type="pct"/>
            <w:gridSpan w:val="4"/>
            <w:vMerge w:val="continue"/>
          </w:tcPr>
          <w:p w14:paraId="76EA939D">
            <w:pPr>
              <w:snapToGrid w:val="0"/>
              <w:spacing w:before="0" w:after="0" w:line="240" w:lineRule="auto"/>
            </w:pPr>
          </w:p>
        </w:tc>
        <w:tc>
          <w:tcPr>
            <w:tcW w:w="518" w:type="pct"/>
            <w:gridSpan w:val="3"/>
            <w:vMerge w:val="continue"/>
          </w:tcPr>
          <w:p w14:paraId="45A6FFAD">
            <w:pPr>
              <w:snapToGrid w:val="0"/>
              <w:spacing w:before="0" w:after="0" w:line="240" w:lineRule="auto"/>
            </w:pPr>
          </w:p>
        </w:tc>
      </w:tr>
      <w:tr w14:paraId="6BB66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57B1AC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FE10DE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1.122</w:t>
            </w:r>
          </w:p>
        </w:tc>
        <w:tc>
          <w:tcPr>
            <w:tcW w:w="68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8A99D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16.0273%</w:t>
            </w:r>
          </w:p>
        </w:tc>
        <w:tc>
          <w:tcPr>
            <w:tcW w:w="856" w:type="pct"/>
            <w:gridSpan w:val="4"/>
            <w:vMerge w:val="continue"/>
          </w:tcPr>
          <w:p w14:paraId="150C1380">
            <w:pPr>
              <w:snapToGrid w:val="0"/>
              <w:spacing w:before="0" w:after="0" w:line="240" w:lineRule="auto"/>
            </w:pPr>
          </w:p>
        </w:tc>
        <w:tc>
          <w:tcPr>
            <w:tcW w:w="518" w:type="pct"/>
            <w:gridSpan w:val="3"/>
            <w:vMerge w:val="continue"/>
          </w:tcPr>
          <w:p w14:paraId="0921C6C7">
            <w:pPr>
              <w:snapToGrid w:val="0"/>
              <w:spacing w:before="0" w:after="0" w:line="240" w:lineRule="auto"/>
            </w:pPr>
          </w:p>
        </w:tc>
      </w:tr>
      <w:tr w14:paraId="42BA2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312D57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CBE75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0.285</w:t>
            </w:r>
          </w:p>
        </w:tc>
        <w:tc>
          <w:tcPr>
            <w:tcW w:w="68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BE7E01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4.0777%</w:t>
            </w:r>
          </w:p>
        </w:tc>
        <w:tc>
          <w:tcPr>
            <w:tcW w:w="856" w:type="pct"/>
            <w:gridSpan w:val="4"/>
            <w:vMerge w:val="continue"/>
          </w:tcPr>
          <w:p w14:paraId="1A5E6EF2">
            <w:pPr>
              <w:snapToGrid w:val="0"/>
              <w:spacing w:before="0" w:after="0" w:line="240" w:lineRule="auto"/>
            </w:pPr>
          </w:p>
        </w:tc>
        <w:tc>
          <w:tcPr>
            <w:tcW w:w="518" w:type="pct"/>
            <w:gridSpan w:val="3"/>
            <w:vMerge w:val="continue"/>
          </w:tcPr>
          <w:p w14:paraId="48D92FE1">
            <w:pPr>
              <w:snapToGrid w:val="0"/>
              <w:spacing w:before="0" w:after="0" w:line="240" w:lineRule="auto"/>
            </w:pPr>
          </w:p>
        </w:tc>
      </w:tr>
      <w:tr w14:paraId="7E70C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D81A811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5D2D96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0.642</w:t>
            </w:r>
          </w:p>
        </w:tc>
        <w:tc>
          <w:tcPr>
            <w:tcW w:w="68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21832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9.1739%</w:t>
            </w:r>
          </w:p>
        </w:tc>
        <w:tc>
          <w:tcPr>
            <w:tcW w:w="856" w:type="pct"/>
            <w:gridSpan w:val="4"/>
            <w:vMerge w:val="continue"/>
          </w:tcPr>
          <w:p w14:paraId="20462A2C">
            <w:pPr>
              <w:snapToGrid w:val="0"/>
              <w:spacing w:before="0" w:after="0" w:line="240" w:lineRule="auto"/>
            </w:pPr>
          </w:p>
        </w:tc>
        <w:tc>
          <w:tcPr>
            <w:tcW w:w="518" w:type="pct"/>
            <w:gridSpan w:val="3"/>
            <w:vMerge w:val="continue"/>
          </w:tcPr>
          <w:p w14:paraId="51A8298D">
            <w:pPr>
              <w:snapToGrid w:val="0"/>
              <w:spacing w:before="0" w:after="0" w:line="240" w:lineRule="auto"/>
            </w:pPr>
          </w:p>
        </w:tc>
      </w:tr>
      <w:tr w14:paraId="1C860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910DEBE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9B5C0B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0.436</w:t>
            </w:r>
          </w:p>
        </w:tc>
        <w:tc>
          <w:tcPr>
            <w:tcW w:w="68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1C08A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6.2328%</w:t>
            </w:r>
          </w:p>
        </w:tc>
        <w:tc>
          <w:tcPr>
            <w:tcW w:w="856" w:type="pct"/>
            <w:gridSpan w:val="4"/>
            <w:vMerge w:val="continue"/>
          </w:tcPr>
          <w:p w14:paraId="75516D60">
            <w:pPr>
              <w:snapToGrid w:val="0"/>
              <w:spacing w:before="0" w:after="0" w:line="240" w:lineRule="auto"/>
            </w:pPr>
          </w:p>
        </w:tc>
        <w:tc>
          <w:tcPr>
            <w:tcW w:w="518" w:type="pct"/>
            <w:gridSpan w:val="3"/>
            <w:vMerge w:val="continue"/>
          </w:tcPr>
          <w:p w14:paraId="7B85C112">
            <w:pPr>
              <w:snapToGrid w:val="0"/>
              <w:spacing w:before="0" w:after="0" w:line="240" w:lineRule="auto"/>
            </w:pPr>
          </w:p>
        </w:tc>
      </w:tr>
      <w:tr w14:paraId="13A8F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880" w:type="pct"/>
          <w:trHeight w:val="0" w:hRule="atLeast"/>
          <w:jc w:val="center"/>
        </w:trPr>
        <w:tc>
          <w:tcPr>
            <w:tcW w:w="644" w:type="pct"/>
            <w:gridSpan w:val="2"/>
            <w:tcBorders>
              <w:bottom w:val="single" w:color="auto" w:sz="12" w:space="0"/>
            </w:tcBorders>
          </w:tcPr>
          <w:p w14:paraId="08165DDF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Indicator7</w:t>
            </w:r>
          </w:p>
        </w:tc>
        <w:tc>
          <w:tcPr>
            <w:tcW w:w="413" w:type="pct"/>
            <w:gridSpan w:val="3"/>
            <w:tcBorders>
              <w:bottom w:val="single" w:color="auto" w:sz="12" w:space="0"/>
            </w:tcBorders>
          </w:tcPr>
          <w:p w14:paraId="2FCE4E0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0.189</w:t>
            </w:r>
          </w:p>
        </w:tc>
        <w:tc>
          <w:tcPr>
            <w:tcW w:w="685" w:type="pct"/>
            <w:gridSpan w:val="5"/>
            <w:tcBorders>
              <w:bottom w:val="single" w:color="auto" w:sz="12" w:space="0"/>
            </w:tcBorders>
          </w:tcPr>
          <w:p w14:paraId="1FD53C5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2.7043%</w:t>
            </w:r>
          </w:p>
        </w:tc>
        <w:tc>
          <w:tcPr>
            <w:tcW w:w="856" w:type="pct"/>
            <w:gridSpan w:val="4"/>
            <w:vMerge w:val="continue"/>
            <w:tcBorders>
              <w:bottom w:val="single" w:color="auto" w:sz="12" w:space="0"/>
            </w:tcBorders>
          </w:tcPr>
          <w:p w14:paraId="43F1A32C">
            <w:pPr>
              <w:snapToGrid w:val="0"/>
              <w:spacing w:before="0" w:after="0" w:line="240" w:lineRule="auto"/>
            </w:pPr>
          </w:p>
        </w:tc>
        <w:tc>
          <w:tcPr>
            <w:tcW w:w="518" w:type="pct"/>
            <w:gridSpan w:val="3"/>
            <w:vMerge w:val="continue"/>
            <w:tcBorders>
              <w:bottom w:val="single" w:color="auto" w:sz="12" w:space="0"/>
            </w:tcBorders>
          </w:tcPr>
          <w:p w14:paraId="2D9A8515">
            <w:pPr>
              <w:snapToGrid w:val="0"/>
              <w:spacing w:before="0" w:after="0" w:line="240" w:lineRule="auto"/>
            </w:pPr>
          </w:p>
        </w:tc>
      </w:tr>
      <w:bookmarkEnd w:id="1"/>
      <w:tr w14:paraId="00A69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B096228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bookmarkStart w:id="2" w:name="t3"/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Analysis Recommendations</w:t>
            </w:r>
          </w:p>
          <w:p w14:paraId="1C02273F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The AHP (Analytic Hierarchy Process) method is used to study the calculation of expert scoring weights;</w:t>
            </w:r>
          </w:p>
          <w:p w14:paraId="485A68D6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First: The AHP method is used to calculate weights and requires consistency testing;</w:t>
            </w:r>
          </w:p>
          <w:p w14:paraId="2B63364A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Second: Describe the weight of each indicator one by one;</w:t>
            </w:r>
          </w:p>
          <w:p w14:paraId="7D2F15B7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Third: SPSSAU uses the sum-product method by default for AHP research (optionally, the square root method can be used).</w:t>
            </w:r>
          </w:p>
          <w:p w14:paraId="3F2991EE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[Tip: Click here to view the algorithm manual].</w:t>
            </w:r>
          </w:p>
          <w:p w14:paraId="647F8D41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5CCCC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01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3B45EF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06195D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242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CE9396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343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BC7C7FE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A147E4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97CFA1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ACF48AE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229499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DAACAC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33C5C9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F96596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A4A4DB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4F5D54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97F263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C86410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5B53D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B542C2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99DB0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2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36C69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34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9CA852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FD9784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4E360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1B4082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FEDCF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F5C81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54B7D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1B379A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001CFC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344528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7B215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E6E5E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6A96F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FDAB76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EC287E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2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C8321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343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1C2EB3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B71C75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EBC121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82AF06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592AD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84A1C5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0567C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D849E9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27D18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A2966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35D5C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2F97FD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687AF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01" w:type="pct"/>
            <w:tcBorders>
              <w:bottom w:val="single" w:color="auto" w:sz="12" w:space="0"/>
            </w:tcBorders>
          </w:tcPr>
          <w:p w14:paraId="2697AD99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443" w:type="pct"/>
            <w:tcBorders>
              <w:bottom w:val="single" w:color="auto" w:sz="12" w:space="0"/>
            </w:tcBorders>
          </w:tcPr>
          <w:p w14:paraId="6059B85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242" w:type="pct"/>
            <w:gridSpan w:val="2"/>
            <w:tcBorders>
              <w:bottom w:val="single" w:color="auto" w:sz="12" w:space="0"/>
            </w:tcBorders>
          </w:tcPr>
          <w:p w14:paraId="442B99B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343" w:type="pct"/>
            <w:gridSpan w:val="3"/>
            <w:tcBorders>
              <w:bottom w:val="single" w:color="auto" w:sz="12" w:space="0"/>
            </w:tcBorders>
          </w:tcPr>
          <w:p w14:paraId="7912746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342" w:type="pct"/>
            <w:gridSpan w:val="2"/>
            <w:tcBorders>
              <w:bottom w:val="single" w:color="auto" w:sz="12" w:space="0"/>
            </w:tcBorders>
          </w:tcPr>
          <w:p w14:paraId="22715BC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342" w:type="pct"/>
            <w:gridSpan w:val="3"/>
            <w:tcBorders>
              <w:bottom w:val="single" w:color="auto" w:sz="12" w:space="0"/>
            </w:tcBorders>
          </w:tcPr>
          <w:p w14:paraId="713906F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342" w:type="pct"/>
            <w:tcBorders>
              <w:bottom w:val="single" w:color="auto" w:sz="12" w:space="0"/>
            </w:tcBorders>
          </w:tcPr>
          <w:p w14:paraId="02D8538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342" w:type="pct"/>
            <w:tcBorders>
              <w:bottom w:val="single" w:color="auto" w:sz="12" w:space="0"/>
            </w:tcBorders>
          </w:tcPr>
          <w:p w14:paraId="1B10D91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342" w:type="pct"/>
            <w:gridSpan w:val="2"/>
            <w:tcBorders>
              <w:bottom w:val="single" w:color="auto" w:sz="12" w:space="0"/>
            </w:tcBorders>
          </w:tcPr>
          <w:p w14:paraId="4DEF915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342" w:type="pct"/>
            <w:gridSpan w:val="2"/>
            <w:tcBorders>
              <w:bottom w:val="single" w:color="auto" w:sz="12" w:space="0"/>
            </w:tcBorders>
          </w:tcPr>
          <w:p w14:paraId="5CF26F6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342" w:type="pct"/>
            <w:tcBorders>
              <w:bottom w:val="single" w:color="auto" w:sz="12" w:space="0"/>
            </w:tcBorders>
          </w:tcPr>
          <w:p w14:paraId="3B7E689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342" w:type="pct"/>
            <w:gridSpan w:val="2"/>
            <w:tcBorders>
              <w:bottom w:val="single" w:color="auto" w:sz="12" w:space="0"/>
            </w:tcBorders>
          </w:tcPr>
          <w:p w14:paraId="089C827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342" w:type="pct"/>
            <w:tcBorders>
              <w:bottom w:val="single" w:color="auto" w:sz="12" w:space="0"/>
            </w:tcBorders>
          </w:tcPr>
          <w:p w14:paraId="0E40EBE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342" w:type="pct"/>
            <w:tcBorders>
              <w:bottom w:val="single" w:color="auto" w:sz="12" w:space="0"/>
            </w:tcBorders>
          </w:tcPr>
          <w:p w14:paraId="014309F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342" w:type="pct"/>
            <w:tcBorders>
              <w:bottom w:val="single" w:color="auto" w:sz="12" w:space="0"/>
            </w:tcBorders>
          </w:tcPr>
          <w:p w14:paraId="291FC9A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74A1E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2238" w:type="pct"/>
          <w:cantSplit/>
          <w:trHeight w:val="226" w:hRule="atLeast"/>
          <w:jc w:val="center"/>
        </w:trPr>
        <w:tc>
          <w:tcPr>
            <w:tcW w:w="2761" w:type="pct"/>
            <w:gridSpan w:val="1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24135347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bookmarkStart w:id="3" w:name="t4"/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Analysis Suggestions</w:t>
            </w:r>
          </w:p>
          <w:p w14:paraId="1125EEFE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When using the AHP (Analytic Hierarchy Process) for weight calculation, a consistency check analysis is required;</w:t>
            </w:r>
          </w:p>
          <w:p w14:paraId="4D0FE474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First: The consistency check requires the use of the CI and RI indicators;</w:t>
            </w:r>
          </w:p>
          <w:p w14:paraId="6BB15F79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Second: The CI value has been calculated, and the RI value can be looked up from the corresponding table.</w:t>
            </w:r>
          </w:p>
          <w:p w14:paraId="030DFD3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Intelligent Analysis</w:t>
            </w:r>
          </w:p>
          <w:p w14:paraId="44AC9750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In this study, a 7-level judgment matrix was constructed. According to the above table, the corresponding random consistency RI value is 1.360, which is used for the following consistency check calculations.</w:t>
            </w:r>
          </w:p>
          <w:p w14:paraId="2F80B13C">
            <w:pPr>
              <w:pStyle w:val="24"/>
              <w:spacing w:before="0" w:after="0" w:line="240" w:lineRule="auto"/>
              <w:jc w:val="left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09573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2238" w:type="pct"/>
          <w:cantSplit/>
          <w:trHeight w:val="226" w:hRule="atLeast"/>
          <w:jc w:val="center"/>
        </w:trPr>
        <w:tc>
          <w:tcPr>
            <w:tcW w:w="1213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2080D5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ABE003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EF6F43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699FE6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622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1725AA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09213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2238" w:type="pct"/>
          <w:cantSplit/>
          <w:trHeight w:val="226" w:hRule="atLeast"/>
          <w:jc w:val="center"/>
        </w:trPr>
        <w:tc>
          <w:tcPr>
            <w:tcW w:w="686" w:type="pct"/>
            <w:gridSpan w:val="3"/>
            <w:tcBorders>
              <w:bottom w:val="single" w:color="auto" w:sz="12" w:space="0"/>
            </w:tcBorders>
          </w:tcPr>
          <w:p w14:paraId="6E083CF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7.102</w:t>
            </w:r>
          </w:p>
        </w:tc>
        <w:tc>
          <w:tcPr>
            <w:tcW w:w="377" w:type="pct"/>
            <w:gridSpan w:val="3"/>
            <w:tcBorders>
              <w:bottom w:val="single" w:color="auto" w:sz="12" w:space="0"/>
            </w:tcBorders>
          </w:tcPr>
          <w:p w14:paraId="2A24A55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0.017</w:t>
            </w:r>
          </w:p>
        </w:tc>
        <w:tc>
          <w:tcPr>
            <w:tcW w:w="377" w:type="pct"/>
            <w:gridSpan w:val="2"/>
            <w:tcBorders>
              <w:bottom w:val="single" w:color="auto" w:sz="12" w:space="0"/>
            </w:tcBorders>
          </w:tcPr>
          <w:p w14:paraId="26000EB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1.360</w:t>
            </w:r>
          </w:p>
        </w:tc>
        <w:tc>
          <w:tcPr>
            <w:tcW w:w="407" w:type="pct"/>
            <w:gridSpan w:val="3"/>
            <w:tcBorders>
              <w:bottom w:val="single" w:color="auto" w:sz="12" w:space="0"/>
            </w:tcBorders>
          </w:tcPr>
          <w:p w14:paraId="6318825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0.013</w:t>
            </w:r>
          </w:p>
        </w:tc>
        <w:tc>
          <w:tcPr>
            <w:tcW w:w="913" w:type="pct"/>
            <w:gridSpan w:val="4"/>
            <w:tcBorders>
              <w:bottom w:val="single" w:color="auto" w:sz="12" w:space="0"/>
            </w:tcBorders>
          </w:tcPr>
          <w:p w14:paraId="56B9221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217739F5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Analysis Recommendation</w:t>
      </w:r>
    </w:p>
    <w:p w14:paraId="70F099BB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When calculating weights using the AHP (Analytic Hierarchy Process), a consistency check is required to examine the consistency of the evaluation weight calculation results, specifically by calculating the consistency ratio CR (CR = CI/RI).</w:t>
      </w:r>
    </w:p>
    <w:p w14:paraId="7D018E0A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70A8CA8F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First: Describe the calculated CI value [CI = (λ_max - n)/(n - 1)];</w:t>
      </w:r>
    </w:p>
    <w:p w14:paraId="73584E9E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Second: Obtain the RI value according to the order of the judgment matrix;</w:t>
      </w:r>
    </w:p>
    <w:p w14:paraId="679F73A9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Third: Calculate the CR value and conduct a consistency judgment.</w:t>
      </w:r>
    </w:p>
    <w:p w14:paraId="26E7F69E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54625506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Intelligent Analysis</w:t>
      </w:r>
    </w:p>
    <w:p w14:paraId="3A984AD2">
      <w:pPr>
        <w:pStyle w:val="3"/>
        <w:spacing w:before="0" w:after="0"/>
        <w:jc w:val="left"/>
      </w:pPr>
      <w:r>
        <w:rPr>
          <w:rFonts w:hint="eastAsia" w:ascii="Times New Roman" w:hAnsi="Times New Roman" w:eastAsia="宋体" w:cs="Times New Roman"/>
          <w:color w:val="FF0000"/>
          <w:sz w:val="20"/>
        </w:rPr>
        <w:t>Generally, the smaller the CR value, the better the consistency of the judgment matrix. Typically, if the CR value is less than 0.1, the judgment matrix passes the consistency test; if the CR value is greater than 0.1, it indicates inconsistency and the judgment matrix should be appropriately adjusted before re-analysis. In this case, for a 7x7 judgment matrix, the calculated CI value is 0.017 and the RI value obtained from the table is 1.360. Therefore, the calculated CR value is 0.013 &lt; 0.1, meaning that the judgment matrix in this study meets the consistency test and the calculated weights are consistent.</w:t>
      </w: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11B16B14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3B35A37"/>
    <w:rsid w:val="0B071D3B"/>
    <w:rsid w:val="0C6648A7"/>
    <w:rsid w:val="16FE5738"/>
    <w:rsid w:val="173947A8"/>
    <w:rsid w:val="19282810"/>
    <w:rsid w:val="1B1464DA"/>
    <w:rsid w:val="24376D95"/>
    <w:rsid w:val="24E25225"/>
    <w:rsid w:val="27893DAB"/>
    <w:rsid w:val="287A36F4"/>
    <w:rsid w:val="2CC118F2"/>
    <w:rsid w:val="2E615CDF"/>
    <w:rsid w:val="2E982B26"/>
    <w:rsid w:val="2F6331E2"/>
    <w:rsid w:val="3055412C"/>
    <w:rsid w:val="352E5F92"/>
    <w:rsid w:val="36F70747"/>
    <w:rsid w:val="413466DE"/>
    <w:rsid w:val="485633DE"/>
    <w:rsid w:val="4C9B3AB5"/>
    <w:rsid w:val="4E4269BE"/>
    <w:rsid w:val="574F1154"/>
    <w:rsid w:val="5FEC4D64"/>
    <w:rsid w:val="656C666D"/>
    <w:rsid w:val="66083824"/>
    <w:rsid w:val="6C0D25FE"/>
    <w:rsid w:val="71D55177"/>
    <w:rsid w:val="7C326E2E"/>
    <w:rsid w:val="7EB73B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1209</Words>
  <Characters>1994</Characters>
  <Lines>12</Lines>
  <Paragraphs>8</Paragraphs>
  <TotalTime>0</TotalTime>
  <ScaleCrop>false</ScaleCrop>
  <LinksUpToDate>false</LinksUpToDate>
  <CharactersWithSpaces>2023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2025-12-17T02:06:00Z</dcterms:created>
  <dc:creator>向往</dc:creator>
  <cp:lastModifiedBy>向往</cp:lastModifiedBy>
  <dcterms:modified xsi:type="dcterms:W3CDTF">2026-02-07T06:05:06Z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15CB5EADF1F642BEBE585D2F81CB1986_12</vt:lpwstr>
  </property>
</Properties>
</file>